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110CA">
      <w:pPr>
        <w:jc w:val="center"/>
        <w:rPr>
          <w:rFonts w:ascii="Times New Roman" w:hAnsi="Times New Roman" w:eastAsia="仿宋" w:cs="Tahoma"/>
          <w:sz w:val="30"/>
          <w:szCs w:val="30"/>
          <w:shd w:val="clear" w:color="auto" w:fill="FFFFFF"/>
        </w:rPr>
      </w:pPr>
      <w:r>
        <w:rPr>
          <w:rFonts w:ascii="Times New Roman" w:hAnsi="Times New Roman" w:eastAsia="仿宋" w:cs="Tahoma"/>
          <w:b/>
          <w:sz w:val="30"/>
          <w:szCs w:val="30"/>
          <w:shd w:val="clear" w:color="auto" w:fill="FFFFFF"/>
        </w:rPr>
        <w:t>教育学院</w:t>
      </w:r>
      <w:r>
        <w:rPr>
          <w:rFonts w:hint="eastAsia" w:ascii="Times New Roman" w:hAnsi="Times New Roman" w:eastAsia="仿宋" w:cs="Times New Roman"/>
          <w:b/>
          <w:sz w:val="30"/>
          <w:szCs w:val="30"/>
          <w:shd w:val="clear" w:color="auto" w:fill="FFFFFF"/>
        </w:rPr>
        <w:t>2024</w:t>
      </w:r>
      <w:r>
        <w:rPr>
          <w:rFonts w:ascii="Times New Roman" w:hAnsi="Times New Roman" w:eastAsia="仿宋" w:cs="Tahoma"/>
          <w:b/>
          <w:sz w:val="30"/>
          <w:szCs w:val="30"/>
          <w:shd w:val="clear" w:color="auto" w:fill="FFFFFF"/>
        </w:rPr>
        <w:t>年研究生</w:t>
      </w:r>
      <w:r>
        <w:rPr>
          <w:rFonts w:hint="eastAsia" w:ascii="Times New Roman" w:hAnsi="Times New Roman" w:eastAsia="仿宋" w:cs="Tahoma"/>
          <w:b/>
          <w:sz w:val="30"/>
          <w:szCs w:val="30"/>
          <w:shd w:val="clear" w:color="auto" w:fill="FFFFFF"/>
        </w:rPr>
        <w:t>学业</w:t>
      </w:r>
      <w:r>
        <w:rPr>
          <w:rFonts w:ascii="Times New Roman" w:hAnsi="Times New Roman" w:eastAsia="仿宋" w:cs="Tahoma"/>
          <w:b/>
          <w:sz w:val="30"/>
          <w:szCs w:val="30"/>
          <w:shd w:val="clear" w:color="auto" w:fill="FFFFFF"/>
        </w:rPr>
        <w:t>奖学金评审办法</w:t>
      </w:r>
    </w:p>
    <w:p w14:paraId="42BAEEAF">
      <w:pPr>
        <w:widowControl/>
        <w:spacing w:line="480" w:lineRule="exact"/>
        <w:ind w:firstLine="480" w:firstLineChars="200"/>
        <w:jc w:val="left"/>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为大力推进研究生培养机制改革，提高研究生培养质量，参照《上海师范大学研究生学业奖学金实施细则》</w:t>
      </w:r>
      <w:r>
        <w:rPr>
          <w:rFonts w:hint="eastAsia" w:ascii="Times New Roman" w:hAnsi="Times New Roman" w:eastAsia="仿宋" w:cs="仿宋"/>
          <w:sz w:val="24"/>
          <w:shd w:val="clear" w:color="auto" w:fill="FFFFFF"/>
        </w:rPr>
        <w:t>（202</w:t>
      </w:r>
      <w:r>
        <w:rPr>
          <w:rFonts w:hint="eastAsia" w:ascii="Times New Roman" w:hAnsi="Times New Roman" w:eastAsia="仿宋" w:cs="仿宋"/>
          <w:sz w:val="24"/>
          <w:shd w:val="clear" w:color="auto" w:fill="FFFFFF"/>
          <w:lang w:val="en-US" w:eastAsia="zh-CN"/>
        </w:rPr>
        <w:t>3</w:t>
      </w:r>
      <w:r>
        <w:rPr>
          <w:rFonts w:hint="eastAsia" w:ascii="Times New Roman" w:hAnsi="Times New Roman" w:eastAsia="仿宋" w:cs="仿宋"/>
          <w:sz w:val="24"/>
          <w:shd w:val="clear" w:color="auto" w:fill="FFFFFF"/>
        </w:rPr>
        <w:t>年修订）</w:t>
      </w:r>
      <w:r>
        <w:rPr>
          <w:rFonts w:ascii="Times New Roman" w:hAnsi="Times New Roman" w:eastAsia="仿宋" w:cs="仿宋"/>
          <w:sz w:val="24"/>
          <w:shd w:val="clear" w:color="auto" w:fill="FFFFFF"/>
        </w:rPr>
        <w:t>，结合学院实际情况和学科特点，特制定教育学院</w:t>
      </w:r>
      <w:r>
        <w:rPr>
          <w:rFonts w:hint="eastAsia" w:ascii="Times New Roman" w:hAnsi="Times New Roman" w:eastAsia="仿宋"/>
          <w:sz w:val="24"/>
          <w:shd w:val="clear" w:color="auto" w:fill="FFFFFF"/>
        </w:rPr>
        <w:t>2024年</w:t>
      </w:r>
      <w:r>
        <w:rPr>
          <w:rFonts w:hint="eastAsia" w:ascii="Times New Roman" w:hAnsi="Times New Roman" w:eastAsia="仿宋" w:cs="仿宋"/>
          <w:sz w:val="24"/>
          <w:shd w:val="clear" w:color="auto" w:fill="FFFFFF"/>
        </w:rPr>
        <w:t>研究生学业奖学金评审办法。</w:t>
      </w:r>
    </w:p>
    <w:p w14:paraId="17CB8E47">
      <w:pPr>
        <w:spacing w:line="480" w:lineRule="exact"/>
        <w:ind w:firstLine="482" w:firstLineChars="200"/>
        <w:rPr>
          <w:rFonts w:ascii="Times New Roman" w:hAnsi="Times New Roman" w:eastAsia="仿宋" w:cs="仿宋"/>
          <w:b/>
          <w:bCs/>
          <w:sz w:val="24"/>
          <w:shd w:val="clear" w:color="auto" w:fill="FFFFFF"/>
        </w:rPr>
      </w:pPr>
      <w:r>
        <w:rPr>
          <w:rFonts w:hint="eastAsia" w:ascii="Times New Roman" w:hAnsi="Times New Roman" w:eastAsia="仿宋" w:cs="仿宋"/>
          <w:b/>
          <w:bCs/>
          <w:sz w:val="24"/>
          <w:shd w:val="clear" w:color="auto" w:fill="FFFFFF"/>
        </w:rPr>
        <w:t>一、申报对象</w:t>
      </w:r>
    </w:p>
    <w:p w14:paraId="0857B680">
      <w:pPr>
        <w:widowControl/>
        <w:spacing w:line="480" w:lineRule="exact"/>
        <w:ind w:firstLine="480" w:firstLineChars="200"/>
        <w:jc w:val="left"/>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学业奖学金的评选对象为纳入全国研究生招生</w:t>
      </w:r>
      <w:r>
        <w:rPr>
          <w:rFonts w:hint="eastAsia" w:ascii="Times New Roman" w:hAnsi="Times New Roman" w:eastAsia="仿宋" w:cs="仿宋"/>
          <w:sz w:val="24"/>
          <w:shd w:val="clear" w:color="auto" w:fill="FFFFFF"/>
        </w:rPr>
        <w:t>计划、正常学制内的全日制非定向研究生（有固定工资收入的除外）。</w:t>
      </w:r>
    </w:p>
    <w:p w14:paraId="33A595AB">
      <w:pPr>
        <w:widowControl/>
        <w:spacing w:line="480" w:lineRule="exact"/>
        <w:ind w:firstLine="480" w:firstLineChars="200"/>
        <w:jc w:val="left"/>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获奖基本条件</w:t>
      </w:r>
      <w:r>
        <w:rPr>
          <w:rFonts w:hint="eastAsia" w:ascii="Times New Roman" w:hAnsi="Times New Roman" w:eastAsia="仿宋" w:cs="仿宋"/>
          <w:sz w:val="24"/>
          <w:shd w:val="clear" w:color="auto" w:fill="FFFFFF"/>
        </w:rPr>
        <w:t>为：</w:t>
      </w:r>
      <w:r>
        <w:rPr>
          <w:rFonts w:ascii="Times New Roman" w:hAnsi="Times New Roman" w:eastAsia="仿宋" w:cs="仿宋"/>
          <w:sz w:val="24"/>
          <w:shd w:val="clear" w:color="auto" w:fill="FFFFFF"/>
        </w:rPr>
        <w:t>（一）具有中华人民共和国国籍; （二）热爱社会主义祖国，拥护中国共产党的领导; （</w:t>
      </w:r>
      <w:r>
        <w:rPr>
          <w:rFonts w:hint="eastAsia" w:ascii="Times New Roman" w:hAnsi="Times New Roman" w:eastAsia="仿宋" w:cs="仿宋"/>
          <w:sz w:val="24"/>
          <w:shd w:val="clear" w:color="auto" w:fill="FFFFFF"/>
        </w:rPr>
        <w:t>三</w:t>
      </w:r>
      <w:r>
        <w:rPr>
          <w:rFonts w:ascii="Times New Roman" w:hAnsi="Times New Roman" w:eastAsia="仿宋" w:cs="仿宋"/>
          <w:sz w:val="24"/>
          <w:shd w:val="clear" w:color="auto" w:fill="FFFFFF"/>
        </w:rPr>
        <w:t>）遵守宪法和法律，遵守学校规章制度; （</w:t>
      </w:r>
      <w:r>
        <w:rPr>
          <w:rFonts w:hint="eastAsia" w:ascii="Times New Roman" w:hAnsi="Times New Roman" w:eastAsia="仿宋" w:cs="仿宋"/>
          <w:sz w:val="24"/>
          <w:shd w:val="clear" w:color="auto" w:fill="FFFFFF"/>
        </w:rPr>
        <w:t>四</w:t>
      </w:r>
      <w:r>
        <w:rPr>
          <w:rFonts w:ascii="Times New Roman" w:hAnsi="Times New Roman" w:eastAsia="仿宋" w:cs="仿宋"/>
          <w:sz w:val="24"/>
          <w:shd w:val="clear" w:color="auto" w:fill="FFFFFF"/>
        </w:rPr>
        <w:t>）诚实守信，品学兼优; （五）积极参与科学研究和社会实践。</w:t>
      </w:r>
    </w:p>
    <w:p w14:paraId="516AA5A8">
      <w:pPr>
        <w:widowControl/>
        <w:spacing w:line="480" w:lineRule="exact"/>
        <w:ind w:firstLine="480" w:firstLineChars="200"/>
        <w:jc w:val="left"/>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出现以下情况的研究生，不得参加研究生学业奖学金的评审：（一）违反国家法律法规者;（二）在申请资料中提供不实信息或隐瞒不利信息者;（三）考试作弊者;（四）上一学年任一课程初试成绩不合格者;（五）学术行为或学位论文存在严重学术不端者;（六）违反校纪校规受纪律处分者。</w:t>
      </w:r>
    </w:p>
    <w:p w14:paraId="1BA29299">
      <w:pPr>
        <w:spacing w:line="480" w:lineRule="exact"/>
        <w:ind w:firstLine="482" w:firstLineChars="200"/>
        <w:rPr>
          <w:rFonts w:ascii="Times New Roman" w:hAnsi="Times New Roman" w:eastAsia="仿宋" w:cs="仿宋"/>
          <w:b/>
          <w:bCs/>
          <w:sz w:val="24"/>
          <w:shd w:val="clear" w:color="auto" w:fill="FFFFFF"/>
        </w:rPr>
      </w:pPr>
      <w:r>
        <w:rPr>
          <w:rFonts w:hint="eastAsia" w:ascii="Times New Roman" w:hAnsi="Times New Roman" w:eastAsia="仿宋" w:cs="仿宋"/>
          <w:b/>
          <w:bCs/>
          <w:sz w:val="24"/>
          <w:shd w:val="clear" w:color="auto" w:fill="FFFFFF"/>
        </w:rPr>
        <w:t>二、奖励标准</w:t>
      </w:r>
    </w:p>
    <w:p w14:paraId="421E0DF8">
      <w:pPr>
        <w:widowControl/>
        <w:spacing w:line="480" w:lineRule="exact"/>
        <w:ind w:firstLine="480" w:firstLineChars="200"/>
        <w:jc w:val="left"/>
        <w:rPr>
          <w:rFonts w:ascii="Times New Roman" w:hAnsi="Times New Roman" w:eastAsia="仿宋" w:cs="仿宋"/>
          <w:sz w:val="24"/>
          <w:shd w:val="clear" w:color="auto" w:fill="FFFFFF"/>
        </w:rPr>
      </w:pPr>
      <w:r>
        <w:rPr>
          <w:rFonts w:hint="eastAsia" w:ascii="Times New Roman" w:hAnsi="Times New Roman" w:eastAsia="仿宋" w:cs="仿宋"/>
          <w:sz w:val="24"/>
          <w:shd w:val="clear" w:color="auto" w:fill="FFFFFF"/>
        </w:rPr>
        <w:t>学院研究生学业奖学金获奖等级、金额和比例如下：</w:t>
      </w:r>
    </w:p>
    <w:tbl>
      <w:tblPr>
        <w:tblStyle w:val="8"/>
        <w:tblpPr w:vertAnchor="text" w:horzAnchor="page" w:tblpX="2236" w:tblpY="91"/>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382"/>
        <w:gridCol w:w="2382"/>
        <w:gridCol w:w="2382"/>
      </w:tblGrid>
      <w:tr w14:paraId="0BB1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Align w:val="center"/>
          </w:tcPr>
          <w:p w14:paraId="41C139C2">
            <w:pPr>
              <w:widowControl/>
              <w:spacing w:beforeAutospacing="1" w:afterAutospacing="1" w:line="315" w:lineRule="atLeast"/>
              <w:jc w:val="center"/>
              <w:rPr>
                <w:rFonts w:ascii="Times New Roman" w:hAnsi="Times New Roman" w:eastAsia="仿宋" w:cs="仿宋"/>
                <w:b/>
                <w:bCs/>
                <w:kern w:val="0"/>
                <w:sz w:val="24"/>
                <w:shd w:val="clear" w:color="auto" w:fill="FFFFFF"/>
              </w:rPr>
            </w:pPr>
            <w:r>
              <w:rPr>
                <w:rFonts w:hint="eastAsia" w:ascii="Times New Roman" w:hAnsi="Times New Roman" w:eastAsia="仿宋" w:cs="仿宋"/>
                <w:b/>
                <w:bCs/>
                <w:kern w:val="0"/>
                <w:sz w:val="24"/>
                <w:shd w:val="clear" w:color="auto" w:fill="FFFFFF"/>
              </w:rPr>
              <w:t>研究生类别</w:t>
            </w:r>
          </w:p>
        </w:tc>
        <w:tc>
          <w:tcPr>
            <w:tcW w:w="2382" w:type="dxa"/>
            <w:vAlign w:val="center"/>
          </w:tcPr>
          <w:p w14:paraId="1F195E2E">
            <w:pPr>
              <w:widowControl/>
              <w:spacing w:beforeAutospacing="1" w:afterAutospacing="1" w:line="315" w:lineRule="atLeast"/>
              <w:jc w:val="center"/>
              <w:rPr>
                <w:rFonts w:ascii="Times New Roman" w:hAnsi="Times New Roman" w:eastAsia="仿宋" w:cs="仿宋"/>
                <w:b/>
                <w:bCs/>
                <w:kern w:val="0"/>
                <w:sz w:val="24"/>
                <w:shd w:val="clear" w:color="auto" w:fill="FFFFFF"/>
              </w:rPr>
            </w:pPr>
            <w:r>
              <w:rPr>
                <w:rFonts w:hint="eastAsia" w:ascii="Times New Roman" w:hAnsi="Times New Roman" w:eastAsia="仿宋" w:cs="仿宋"/>
                <w:b/>
                <w:bCs/>
                <w:kern w:val="0"/>
                <w:sz w:val="24"/>
                <w:shd w:val="clear" w:color="auto" w:fill="FFFFFF"/>
              </w:rPr>
              <w:t>等级</w:t>
            </w:r>
          </w:p>
        </w:tc>
        <w:tc>
          <w:tcPr>
            <w:tcW w:w="2382" w:type="dxa"/>
            <w:vAlign w:val="center"/>
          </w:tcPr>
          <w:p w14:paraId="19842207">
            <w:pPr>
              <w:widowControl/>
              <w:spacing w:beforeAutospacing="1" w:afterAutospacing="1" w:line="315" w:lineRule="atLeast"/>
              <w:jc w:val="center"/>
              <w:rPr>
                <w:rFonts w:ascii="Times New Roman" w:hAnsi="Times New Roman" w:eastAsia="仿宋" w:cs="仿宋"/>
                <w:b/>
                <w:bCs/>
                <w:kern w:val="0"/>
                <w:sz w:val="24"/>
                <w:shd w:val="clear" w:color="auto" w:fill="FFFFFF"/>
              </w:rPr>
            </w:pPr>
            <w:r>
              <w:rPr>
                <w:rFonts w:hint="eastAsia" w:ascii="Times New Roman" w:hAnsi="Times New Roman" w:eastAsia="仿宋" w:cs="仿宋"/>
                <w:b/>
                <w:bCs/>
                <w:kern w:val="0"/>
                <w:sz w:val="24"/>
                <w:shd w:val="clear" w:color="auto" w:fill="FFFFFF"/>
              </w:rPr>
              <w:t>金额</w:t>
            </w:r>
          </w:p>
        </w:tc>
        <w:tc>
          <w:tcPr>
            <w:tcW w:w="2382" w:type="dxa"/>
            <w:vAlign w:val="center"/>
          </w:tcPr>
          <w:p w14:paraId="6E5964EE">
            <w:pPr>
              <w:widowControl/>
              <w:spacing w:beforeAutospacing="1" w:afterAutospacing="1" w:line="315" w:lineRule="atLeast"/>
              <w:jc w:val="center"/>
              <w:rPr>
                <w:rFonts w:ascii="Times New Roman" w:hAnsi="Times New Roman" w:eastAsia="仿宋" w:cs="仿宋"/>
                <w:b/>
                <w:bCs/>
                <w:kern w:val="0"/>
                <w:sz w:val="24"/>
                <w:shd w:val="clear" w:color="auto" w:fill="FFFFFF"/>
              </w:rPr>
            </w:pPr>
            <w:r>
              <w:rPr>
                <w:rFonts w:hint="eastAsia" w:ascii="Times New Roman" w:hAnsi="Times New Roman" w:eastAsia="仿宋" w:cs="仿宋"/>
                <w:b/>
                <w:bCs/>
                <w:kern w:val="0"/>
                <w:sz w:val="24"/>
                <w:shd w:val="clear" w:color="auto" w:fill="FFFFFF"/>
              </w:rPr>
              <w:t>比例</w:t>
            </w:r>
          </w:p>
        </w:tc>
      </w:tr>
      <w:tr w14:paraId="218A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34" w:type="dxa"/>
            <w:vMerge w:val="restart"/>
            <w:vAlign w:val="center"/>
          </w:tcPr>
          <w:p w14:paraId="41E11EA8">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博士</w:t>
            </w:r>
          </w:p>
        </w:tc>
        <w:tc>
          <w:tcPr>
            <w:tcW w:w="2382" w:type="dxa"/>
            <w:vAlign w:val="center"/>
          </w:tcPr>
          <w:p w14:paraId="10856026">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一等</w:t>
            </w:r>
          </w:p>
        </w:tc>
        <w:tc>
          <w:tcPr>
            <w:tcW w:w="2382" w:type="dxa"/>
            <w:vAlign w:val="center"/>
          </w:tcPr>
          <w:p w14:paraId="4D651022">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18000</w:t>
            </w:r>
          </w:p>
        </w:tc>
        <w:tc>
          <w:tcPr>
            <w:tcW w:w="2382" w:type="dxa"/>
            <w:vAlign w:val="center"/>
          </w:tcPr>
          <w:p w14:paraId="38A506C4">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5%</w:t>
            </w:r>
          </w:p>
        </w:tc>
      </w:tr>
      <w:tr w14:paraId="7FAB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4" w:type="dxa"/>
            <w:vMerge w:val="continue"/>
            <w:vAlign w:val="center"/>
          </w:tcPr>
          <w:p w14:paraId="1551540B">
            <w:pPr>
              <w:widowControl/>
              <w:spacing w:beforeAutospacing="1" w:afterAutospacing="1" w:line="315" w:lineRule="atLeast"/>
              <w:jc w:val="center"/>
              <w:rPr>
                <w:rFonts w:ascii="Times New Roman" w:hAnsi="Times New Roman" w:eastAsia="仿宋" w:cs="仿宋"/>
                <w:kern w:val="0"/>
                <w:sz w:val="24"/>
                <w:shd w:val="clear" w:color="auto" w:fill="FFFFFF"/>
              </w:rPr>
            </w:pPr>
          </w:p>
        </w:tc>
        <w:tc>
          <w:tcPr>
            <w:tcW w:w="2382" w:type="dxa"/>
            <w:vAlign w:val="center"/>
          </w:tcPr>
          <w:p w14:paraId="1EAF5521">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二等</w:t>
            </w:r>
          </w:p>
        </w:tc>
        <w:tc>
          <w:tcPr>
            <w:tcW w:w="2382" w:type="dxa"/>
            <w:vAlign w:val="center"/>
          </w:tcPr>
          <w:p w14:paraId="5F840E82">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12000</w:t>
            </w:r>
          </w:p>
        </w:tc>
        <w:tc>
          <w:tcPr>
            <w:tcW w:w="2382" w:type="dxa"/>
            <w:vAlign w:val="center"/>
          </w:tcPr>
          <w:p w14:paraId="4A4B77FC">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5%</w:t>
            </w:r>
          </w:p>
        </w:tc>
      </w:tr>
      <w:tr w14:paraId="08E2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4" w:type="dxa"/>
            <w:vMerge w:val="continue"/>
            <w:vAlign w:val="center"/>
          </w:tcPr>
          <w:p w14:paraId="0E1A5EFD">
            <w:pPr>
              <w:widowControl/>
              <w:spacing w:beforeAutospacing="1" w:afterAutospacing="1" w:line="315" w:lineRule="atLeast"/>
              <w:jc w:val="center"/>
              <w:rPr>
                <w:rFonts w:ascii="Times New Roman" w:hAnsi="Times New Roman" w:eastAsia="仿宋" w:cs="仿宋"/>
                <w:kern w:val="0"/>
                <w:sz w:val="24"/>
                <w:shd w:val="clear" w:color="auto" w:fill="FFFFFF"/>
              </w:rPr>
            </w:pPr>
          </w:p>
        </w:tc>
        <w:tc>
          <w:tcPr>
            <w:tcW w:w="2382" w:type="dxa"/>
            <w:vAlign w:val="center"/>
          </w:tcPr>
          <w:p w14:paraId="1BAFFA73">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三等</w:t>
            </w:r>
          </w:p>
        </w:tc>
        <w:tc>
          <w:tcPr>
            <w:tcW w:w="2382" w:type="dxa"/>
            <w:vAlign w:val="center"/>
          </w:tcPr>
          <w:p w14:paraId="5BE08B29">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10000</w:t>
            </w:r>
          </w:p>
        </w:tc>
        <w:tc>
          <w:tcPr>
            <w:tcW w:w="2382" w:type="dxa"/>
            <w:vAlign w:val="center"/>
          </w:tcPr>
          <w:p w14:paraId="77D1A90C">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90%</w:t>
            </w:r>
          </w:p>
        </w:tc>
      </w:tr>
      <w:tr w14:paraId="27B5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4" w:type="dxa"/>
            <w:vMerge w:val="restart"/>
            <w:vAlign w:val="center"/>
          </w:tcPr>
          <w:p w14:paraId="7259C858">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硕士</w:t>
            </w:r>
          </w:p>
        </w:tc>
        <w:tc>
          <w:tcPr>
            <w:tcW w:w="2382" w:type="dxa"/>
            <w:vAlign w:val="center"/>
          </w:tcPr>
          <w:p w14:paraId="7C564101">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一等</w:t>
            </w:r>
          </w:p>
        </w:tc>
        <w:tc>
          <w:tcPr>
            <w:tcW w:w="2382" w:type="dxa"/>
            <w:vAlign w:val="center"/>
          </w:tcPr>
          <w:p w14:paraId="089B1C5D">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12000</w:t>
            </w:r>
          </w:p>
        </w:tc>
        <w:tc>
          <w:tcPr>
            <w:tcW w:w="2382" w:type="dxa"/>
            <w:vAlign w:val="center"/>
          </w:tcPr>
          <w:p w14:paraId="38355D9A">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5%</w:t>
            </w:r>
          </w:p>
        </w:tc>
      </w:tr>
      <w:tr w14:paraId="6F82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4" w:type="dxa"/>
            <w:vMerge w:val="continue"/>
            <w:vAlign w:val="center"/>
          </w:tcPr>
          <w:p w14:paraId="5341EFAE">
            <w:pPr>
              <w:widowControl/>
              <w:spacing w:beforeAutospacing="1" w:afterAutospacing="1" w:line="315" w:lineRule="atLeast"/>
              <w:jc w:val="center"/>
              <w:rPr>
                <w:rFonts w:ascii="Times New Roman" w:hAnsi="Times New Roman" w:eastAsia="仿宋" w:cs="仿宋"/>
                <w:kern w:val="0"/>
                <w:sz w:val="24"/>
                <w:shd w:val="clear" w:color="auto" w:fill="FFFFFF"/>
              </w:rPr>
            </w:pPr>
          </w:p>
        </w:tc>
        <w:tc>
          <w:tcPr>
            <w:tcW w:w="2382" w:type="dxa"/>
            <w:vAlign w:val="center"/>
          </w:tcPr>
          <w:p w14:paraId="649F1B5C">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二等</w:t>
            </w:r>
          </w:p>
        </w:tc>
        <w:tc>
          <w:tcPr>
            <w:tcW w:w="2382" w:type="dxa"/>
            <w:vAlign w:val="center"/>
          </w:tcPr>
          <w:p w14:paraId="612C742E">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6000</w:t>
            </w:r>
          </w:p>
        </w:tc>
        <w:tc>
          <w:tcPr>
            <w:tcW w:w="2382" w:type="dxa"/>
            <w:vAlign w:val="center"/>
          </w:tcPr>
          <w:p w14:paraId="790BFE34">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5%</w:t>
            </w:r>
          </w:p>
        </w:tc>
      </w:tr>
      <w:tr w14:paraId="1237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34" w:type="dxa"/>
            <w:vMerge w:val="continue"/>
            <w:vAlign w:val="center"/>
          </w:tcPr>
          <w:p w14:paraId="66883358">
            <w:pPr>
              <w:widowControl/>
              <w:spacing w:beforeAutospacing="1" w:afterAutospacing="1" w:line="315" w:lineRule="atLeast"/>
              <w:jc w:val="center"/>
              <w:rPr>
                <w:rFonts w:ascii="Times New Roman" w:hAnsi="Times New Roman" w:eastAsia="仿宋" w:cs="仿宋"/>
                <w:kern w:val="0"/>
                <w:sz w:val="24"/>
                <w:shd w:val="clear" w:color="auto" w:fill="FFFFFF"/>
              </w:rPr>
            </w:pPr>
          </w:p>
        </w:tc>
        <w:tc>
          <w:tcPr>
            <w:tcW w:w="2382" w:type="dxa"/>
            <w:vAlign w:val="center"/>
          </w:tcPr>
          <w:p w14:paraId="1713B8D9">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三等</w:t>
            </w:r>
          </w:p>
        </w:tc>
        <w:tc>
          <w:tcPr>
            <w:tcW w:w="2382" w:type="dxa"/>
            <w:vAlign w:val="center"/>
          </w:tcPr>
          <w:p w14:paraId="7CC77C2C">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3200</w:t>
            </w:r>
          </w:p>
        </w:tc>
        <w:tc>
          <w:tcPr>
            <w:tcW w:w="2382" w:type="dxa"/>
            <w:vAlign w:val="center"/>
          </w:tcPr>
          <w:p w14:paraId="4FBFDC07">
            <w:pPr>
              <w:widowControl/>
              <w:spacing w:beforeAutospacing="1" w:afterAutospacing="1" w:line="315" w:lineRule="atLeast"/>
              <w:jc w:val="center"/>
              <w:rPr>
                <w:rFonts w:ascii="Times New Roman" w:hAnsi="Times New Roman" w:eastAsia="仿宋" w:cs="仿宋"/>
                <w:kern w:val="0"/>
                <w:sz w:val="24"/>
                <w:shd w:val="clear" w:color="auto" w:fill="FFFFFF"/>
              </w:rPr>
            </w:pPr>
            <w:r>
              <w:rPr>
                <w:rFonts w:hint="eastAsia" w:ascii="Times New Roman" w:hAnsi="Times New Roman" w:eastAsia="仿宋" w:cs="仿宋"/>
                <w:kern w:val="0"/>
                <w:sz w:val="24"/>
                <w:shd w:val="clear" w:color="auto" w:fill="FFFFFF"/>
              </w:rPr>
              <w:t>90%</w:t>
            </w:r>
          </w:p>
        </w:tc>
      </w:tr>
    </w:tbl>
    <w:p w14:paraId="1D977A17">
      <w:pPr>
        <w:numPr>
          <w:ilvl w:val="0"/>
          <w:numId w:val="1"/>
        </w:numPr>
        <w:spacing w:line="480" w:lineRule="exact"/>
        <w:ind w:firstLine="482" w:firstLineChars="200"/>
        <w:rPr>
          <w:rFonts w:ascii="Times New Roman" w:hAnsi="Times New Roman" w:eastAsia="仿宋" w:cs="仿宋"/>
          <w:b/>
          <w:bCs/>
          <w:sz w:val="24"/>
          <w:shd w:val="clear" w:color="auto" w:fill="FFFFFF"/>
        </w:rPr>
      </w:pPr>
      <w:r>
        <w:rPr>
          <w:rFonts w:hint="eastAsia" w:ascii="Times New Roman" w:hAnsi="Times New Roman" w:eastAsia="仿宋" w:cs="仿宋"/>
          <w:b/>
          <w:bCs/>
          <w:sz w:val="24"/>
          <w:shd w:val="clear" w:color="auto" w:fill="FFFFFF"/>
        </w:rPr>
        <w:t>评审组织</w:t>
      </w:r>
    </w:p>
    <w:p w14:paraId="129B2C1C">
      <w:pPr>
        <w:spacing w:line="480" w:lineRule="exact"/>
        <w:ind w:firstLine="480" w:firstLineChars="200"/>
        <w:rPr>
          <w:rFonts w:ascii="Times New Roman" w:hAnsi="Times New Roman" w:eastAsia="仿宋" w:cs="仿宋"/>
          <w:sz w:val="24"/>
          <w:shd w:val="clear" w:color="auto" w:fill="FFFFFF"/>
        </w:rPr>
      </w:pPr>
      <w:r>
        <w:rPr>
          <w:rFonts w:hint="eastAsia" w:ascii="Times New Roman" w:hAnsi="Times New Roman" w:eastAsia="仿宋" w:cs="仿宋"/>
          <w:sz w:val="24"/>
          <w:shd w:val="clear" w:color="auto" w:fill="FFFFFF"/>
        </w:rPr>
        <w:t>学院按照学校要求成立研究生学业奖学金评审委员会，由主要领导任主任委员，分管学生工作副书记、研究生导师代表、研究生教育管理人员、研究生代表任委员，负责制定学院研究生学业奖学金评审细则、申请组织、初步评审等工作。</w:t>
      </w:r>
    </w:p>
    <w:p w14:paraId="62872D41">
      <w:pPr>
        <w:spacing w:line="480" w:lineRule="exact"/>
        <w:ind w:firstLine="480" w:firstLineChars="200"/>
        <w:rPr>
          <w:rFonts w:ascii="Times New Roman" w:hAnsi="Times New Roman" w:eastAsia="仿宋" w:cs="仿宋"/>
          <w:sz w:val="24"/>
          <w:shd w:val="clear" w:color="auto" w:fill="FFFFFF"/>
        </w:rPr>
      </w:pPr>
      <w:r>
        <w:rPr>
          <w:rFonts w:hint="eastAsia" w:ascii="Times New Roman" w:hAnsi="Times New Roman" w:eastAsia="仿宋" w:cs="仿宋"/>
          <w:sz w:val="24"/>
          <w:shd w:val="clear" w:color="auto" w:fill="FFFFFF"/>
        </w:rPr>
        <w:t xml:space="preserve">教育学院评审委员会成员：徐晓明 黄海涛 魏峰 宁波 阎亚军 朱莹 许义 刘红 耿婕 王梦含 </w:t>
      </w:r>
      <w:r>
        <w:rPr>
          <w:rFonts w:hint="eastAsia" w:ascii="Times New Roman" w:hAnsi="Times New Roman" w:eastAsia="仿宋" w:cs="仿宋"/>
          <w:sz w:val="24"/>
          <w:shd w:val="clear" w:color="auto" w:fill="FFFFFF"/>
          <w:lang w:val="en-US" w:eastAsia="zh-CN"/>
        </w:rPr>
        <w:t>莫海欣</w:t>
      </w:r>
      <w:r>
        <w:rPr>
          <w:rFonts w:hint="eastAsia" w:ascii="Times New Roman" w:hAnsi="Times New Roman" w:eastAsia="仿宋" w:cs="仿宋"/>
          <w:sz w:val="24"/>
          <w:shd w:val="clear" w:color="auto" w:fill="FFFFFF"/>
        </w:rPr>
        <w:t xml:space="preserve"> </w:t>
      </w:r>
    </w:p>
    <w:p w14:paraId="2821C35A">
      <w:pPr>
        <w:spacing w:line="480" w:lineRule="exact"/>
        <w:ind w:firstLine="482" w:firstLineChars="200"/>
        <w:rPr>
          <w:rFonts w:ascii="Times New Roman" w:hAnsi="Times New Roman" w:eastAsia="仿宋" w:cs="仿宋"/>
          <w:b/>
          <w:bCs/>
          <w:sz w:val="24"/>
          <w:shd w:val="clear" w:color="auto" w:fill="FFFFFF"/>
        </w:rPr>
      </w:pPr>
      <w:r>
        <w:rPr>
          <w:rFonts w:hint="eastAsia" w:ascii="Times New Roman" w:hAnsi="Times New Roman" w:eastAsia="仿宋" w:cs="仿宋"/>
          <w:b/>
          <w:bCs/>
          <w:sz w:val="24"/>
          <w:shd w:val="clear" w:color="auto" w:fill="FFFFFF"/>
        </w:rPr>
        <w:t>四、评审程序及办法</w:t>
      </w:r>
    </w:p>
    <w:p w14:paraId="398CF0D2">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1. </w:t>
      </w:r>
      <w:r>
        <w:rPr>
          <w:rFonts w:hint="eastAsia" w:ascii="Times New Roman" w:hAnsi="Times New Roman" w:eastAsia="仿宋" w:cs="仿宋"/>
          <w:sz w:val="24"/>
          <w:shd w:val="clear" w:color="auto" w:fill="FFFFFF"/>
        </w:rPr>
        <w:t>学院应根据《上海师范大学研究生学业奖学金评审实施细则（202</w:t>
      </w:r>
      <w:r>
        <w:rPr>
          <w:rFonts w:hint="eastAsia" w:ascii="Times New Roman" w:hAnsi="Times New Roman" w:eastAsia="仿宋" w:cs="仿宋"/>
          <w:sz w:val="24"/>
          <w:shd w:val="clear" w:color="auto" w:fill="FFFFFF"/>
          <w:lang w:val="en-US" w:eastAsia="zh-CN"/>
        </w:rPr>
        <w:t>3</w:t>
      </w:r>
      <w:r>
        <w:rPr>
          <w:rFonts w:hint="eastAsia" w:ascii="Times New Roman" w:hAnsi="Times New Roman" w:eastAsia="仿宋" w:cs="仿宋"/>
          <w:sz w:val="24"/>
          <w:shd w:val="clear" w:color="auto" w:fill="FFFFFF"/>
        </w:rPr>
        <w:t>年修订）》以及实际情况制定学院研究生学业奖学金的评审办法，并及时向学院全体研究生公布。</w:t>
      </w:r>
    </w:p>
    <w:p w14:paraId="0CB42DBF">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2. </w:t>
      </w:r>
      <w:r>
        <w:rPr>
          <w:rFonts w:hint="eastAsia" w:ascii="Times New Roman" w:hAnsi="Times New Roman" w:eastAsia="仿宋" w:cs="仿宋"/>
          <w:sz w:val="24"/>
          <w:shd w:val="clear" w:color="auto" w:fill="FFFFFF"/>
        </w:rPr>
        <w:t>学业奖学金按照“学生申请、学院评审、学校审定”的程序进行。研究生学业奖学金须由本人向学院研究生学业奖学金评审委员会提出申请，填写研究生学业奖学金评审表格，并提交科研成果、获奖证书等佐证材料。</w:t>
      </w:r>
    </w:p>
    <w:p w14:paraId="4275503A">
      <w:pPr>
        <w:spacing w:line="480" w:lineRule="exact"/>
        <w:ind w:firstLine="480" w:firstLineChars="200"/>
        <w:rPr>
          <w:rFonts w:ascii="Times New Roman" w:hAnsi="Times New Roman" w:eastAsia="仿宋" w:cs="仿宋"/>
          <w:sz w:val="24"/>
          <w:shd w:val="clear" w:color="auto" w:fill="FFFFFF"/>
        </w:rPr>
      </w:pPr>
      <w:r>
        <w:rPr>
          <w:rFonts w:hint="eastAsia" w:ascii="Times New Roman" w:hAnsi="Times New Roman" w:eastAsia="仿宋" w:cs="仿宋"/>
          <w:sz w:val="24"/>
          <w:shd w:val="clear" w:color="auto" w:fill="FFFFFF"/>
        </w:rPr>
        <w:t>学院研究生学业奖学金评审委员会根据《教育学院2024年研究生学业奖学金评定细则》（2024年修订）对学生上交的参评成果材料进行打分，综合评审后根据名额产生学业奖学金获奖学生名单。</w:t>
      </w:r>
    </w:p>
    <w:p w14:paraId="6F1BA0AA">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3. </w:t>
      </w:r>
      <w:r>
        <w:rPr>
          <w:rFonts w:hint="eastAsia" w:ascii="Times New Roman" w:hAnsi="Times New Roman" w:eastAsia="仿宋" w:cs="仿宋"/>
          <w:sz w:val="24"/>
          <w:shd w:val="clear" w:color="auto" w:fill="FFFFFF"/>
        </w:rPr>
        <w:t>学院评审委员会主任委员负责组织委员会委员对申请学业奖学金的学生进行初步评审,核实申请者填报信息的真实性,评审过程中应充分尊重本基层单位学术组织、研究生导师的推荐意见，在确定学院获奖学生名单后，应在基层单位内进行不少于5个工作日的公示。公示无异议后，按学校本年度下达的名单等额向学校报送名单。</w:t>
      </w:r>
    </w:p>
    <w:p w14:paraId="30521F7A">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4. </w:t>
      </w:r>
      <w:r>
        <w:rPr>
          <w:rFonts w:hint="eastAsia" w:ascii="Times New Roman" w:hAnsi="Times New Roman" w:eastAsia="仿宋" w:cs="仿宋"/>
          <w:sz w:val="24"/>
          <w:shd w:val="clear" w:color="auto" w:fill="FFFFFF"/>
        </w:rPr>
        <w:t>学校研究生学业奖学金评审领导小组对各学院（单位）汇总材料进行审定，审定结果在全校范围内进行不少于5个工作日的公示。</w:t>
      </w:r>
    </w:p>
    <w:p w14:paraId="60AE02E8">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5. </w:t>
      </w:r>
      <w:r>
        <w:rPr>
          <w:rFonts w:hint="eastAsia" w:ascii="Times New Roman" w:hAnsi="Times New Roman" w:eastAsia="仿宋" w:cs="仿宋"/>
          <w:sz w:val="24"/>
          <w:shd w:val="clear" w:color="auto" w:fill="FFFFFF"/>
        </w:rPr>
        <w:t>学院公示期内有异议者，可在各学院公示阶段向学院评审委员会提出申诉，评审委员会应及时研究并予以答复。如对学院做出的答复仍存在异议，可在学校公示阶段向学校研究生学业奖学金评审领导小组提请裁决。</w:t>
      </w:r>
    </w:p>
    <w:p w14:paraId="3C864019">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6. </w:t>
      </w:r>
      <w:r>
        <w:rPr>
          <w:rFonts w:hint="eastAsia" w:ascii="Times New Roman" w:hAnsi="Times New Roman" w:eastAsia="仿宋" w:cs="仿宋"/>
          <w:sz w:val="24"/>
          <w:shd w:val="clear" w:color="auto" w:fill="FFFFFF"/>
        </w:rPr>
        <w:t>各学院依据研究生思想品德、课程成绩、科研成果、实践创新能力以及社会服务等方面的实际表现制定详细评审方案进行综合评定。</w:t>
      </w:r>
    </w:p>
    <w:p w14:paraId="05719FCD">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7. </w:t>
      </w:r>
      <w:r>
        <w:rPr>
          <w:rFonts w:hint="eastAsia" w:ascii="Times New Roman" w:hAnsi="Times New Roman" w:eastAsia="仿宋" w:cs="仿宋"/>
          <w:sz w:val="24"/>
          <w:shd w:val="clear" w:color="auto" w:fill="FFFFFF"/>
        </w:rPr>
        <w:t xml:space="preserve">对于新入学研究生，各学院应根据实际情况制定科学合理的机制，可依据其入学考试成绩、招生形式、是否第一志愿兼顾前置学段的突出成绩等方面进行评定。 </w:t>
      </w:r>
    </w:p>
    <w:p w14:paraId="0A13FCD9">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8. </w:t>
      </w:r>
      <w:r>
        <w:rPr>
          <w:rFonts w:hint="eastAsia" w:ascii="Times New Roman" w:hAnsi="Times New Roman" w:eastAsia="仿宋" w:cs="仿宋"/>
          <w:sz w:val="24"/>
          <w:shd w:val="clear" w:color="auto" w:fill="FFFFFF"/>
        </w:rPr>
        <w:t>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14:paraId="383F91C3">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9. </w:t>
      </w:r>
      <w:r>
        <w:rPr>
          <w:rFonts w:hint="eastAsia" w:ascii="Times New Roman" w:hAnsi="Times New Roman" w:eastAsia="仿宋" w:cs="仿宋"/>
          <w:sz w:val="24"/>
          <w:shd w:val="clear" w:color="auto" w:fill="FFFFFF"/>
        </w:rPr>
        <w:t>学业奖学金每年评审一次。获得研究生学业奖学金奖励的研究生，可以同时获得研究生国家奖学金、研究生国家助学金等其他研究生国家奖助政策以及校内其他研究生奖助政策资助。</w:t>
      </w:r>
    </w:p>
    <w:p w14:paraId="164F807E">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10. </w:t>
      </w:r>
      <w:r>
        <w:rPr>
          <w:rFonts w:hint="eastAsia" w:ascii="Times New Roman" w:hAnsi="Times New Roman" w:eastAsia="仿宋" w:cs="仿宋"/>
          <w:sz w:val="24"/>
          <w:shd w:val="clear" w:color="auto" w:fill="FFFFFF"/>
        </w:rPr>
        <w:t>研究生院/研究生工作部将校评审领导小组审定通过的名单提交学校财务处，财务处在每年 12 月 31 日前将当年研究生学业奖学金一次性发放给获奖学生。各学院根据学校学业奖学金评审领导小组评定结果，将研究生获得学业奖学金情况记入学生学籍档案。</w:t>
      </w:r>
    </w:p>
    <w:p w14:paraId="32A7153A">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 xml:space="preserve">11. </w:t>
      </w:r>
      <w:r>
        <w:rPr>
          <w:rFonts w:hint="eastAsia" w:ascii="Times New Roman" w:hAnsi="Times New Roman" w:eastAsia="仿宋" w:cs="仿宋"/>
          <w:sz w:val="24"/>
          <w:shd w:val="clear" w:color="auto" w:fill="FFFFFF"/>
        </w:rPr>
        <w:t>学制为 2.5 年的研究生，第三学年的学业奖学金按照年奖励金额标准的一半发放。</w:t>
      </w:r>
    </w:p>
    <w:p w14:paraId="27639750">
      <w:pPr>
        <w:spacing w:line="480" w:lineRule="exact"/>
        <w:ind w:firstLine="480" w:firstLineChars="200"/>
        <w:rPr>
          <w:rFonts w:ascii="Times New Roman" w:hAnsi="Times New Roman" w:eastAsia="仿宋" w:cs="仿宋"/>
          <w:sz w:val="24"/>
          <w:shd w:val="clear" w:color="auto" w:fill="FFFFFF"/>
        </w:rPr>
      </w:pPr>
      <w:r>
        <w:rPr>
          <w:rFonts w:hint="eastAsia" w:ascii="Times New Roman" w:hAnsi="Times New Roman" w:eastAsia="仿宋" w:cs="仿宋"/>
          <w:sz w:val="24"/>
          <w:shd w:val="clear" w:color="auto" w:fill="FFFFFF"/>
        </w:rPr>
        <w:t>12．研究生在学制期内，办理保留学籍或休学等手续的，不得申请学业奖学金。办理退学的研究生，已发放学业奖学金的，应将已发放的当年学业奖学金全额退回后，方可办理退学手续。延长学习期限的研究生在延长期间内不享受学业奖学金。</w:t>
      </w:r>
    </w:p>
    <w:p w14:paraId="1890E2F8">
      <w:pPr>
        <w:spacing w:line="480" w:lineRule="exact"/>
        <w:ind w:firstLine="480" w:firstLineChars="200"/>
        <w:rPr>
          <w:rFonts w:ascii="Times New Roman" w:hAnsi="Times New Roman" w:eastAsia="仿宋" w:cs="仿宋"/>
          <w:sz w:val="24"/>
          <w:shd w:val="clear" w:color="auto" w:fill="FFFFFF"/>
        </w:rPr>
      </w:pPr>
      <w:r>
        <w:rPr>
          <w:rFonts w:hint="eastAsia" w:ascii="Times New Roman" w:hAnsi="Times New Roman" w:eastAsia="仿宋" w:cs="仿宋"/>
          <w:sz w:val="24"/>
          <w:shd w:val="clear" w:color="auto" w:fill="FFFFFF"/>
        </w:rPr>
        <w:t>13．研究生学业奖学金评审工作坚持公正、公平、公开、择优原则，严禁弄虚作假。在研究生学业奖学金评审过程中，若发现申请者有违反学术纪律或弄虚作假行为，取消该生在校期间学业奖学金评审资格，并根据情节轻重给予相应处分；若发现虚作假，学校将对该学院和相关责任人员予以相应处理并通报全校。</w:t>
      </w:r>
    </w:p>
    <w:p w14:paraId="0616A05B">
      <w:pPr>
        <w:spacing w:line="480" w:lineRule="exact"/>
        <w:ind w:firstLine="482" w:firstLineChars="200"/>
        <w:rPr>
          <w:rFonts w:ascii="Times New Roman" w:hAnsi="Times New Roman" w:eastAsia="仿宋" w:cs="仿宋"/>
          <w:b/>
          <w:bCs/>
          <w:sz w:val="24"/>
          <w:shd w:val="clear" w:color="auto" w:fill="FFFFFF"/>
        </w:rPr>
      </w:pPr>
      <w:r>
        <w:rPr>
          <w:rFonts w:hint="eastAsia" w:ascii="Times New Roman" w:hAnsi="Times New Roman" w:eastAsia="仿宋" w:cs="仿宋"/>
          <w:b/>
          <w:bCs/>
          <w:sz w:val="24"/>
          <w:shd w:val="clear" w:color="auto" w:fill="FFFFFF"/>
        </w:rPr>
        <w:t>五、申报名额</w:t>
      </w:r>
    </w:p>
    <w:p w14:paraId="4EFB8274">
      <w:pPr>
        <w:spacing w:line="480" w:lineRule="exact"/>
        <w:ind w:firstLine="480" w:firstLineChars="200"/>
        <w:rPr>
          <w:rFonts w:hint="eastAsia" w:ascii="Times New Roman" w:hAnsi="Times New Roman" w:eastAsia="仿宋" w:cs="仿宋"/>
          <w:sz w:val="24"/>
          <w:shd w:val="clear" w:color="auto" w:fill="FFFFFF"/>
          <w:lang w:eastAsia="zh-CN"/>
        </w:rPr>
      </w:pPr>
      <w:r>
        <w:rPr>
          <w:rFonts w:hint="eastAsia" w:ascii="Times New Roman" w:hAnsi="Times New Roman" w:eastAsia="仿宋" w:cs="仿宋"/>
          <w:sz w:val="24"/>
          <w:shd w:val="clear" w:color="auto" w:fill="FFFFFF"/>
        </w:rPr>
        <w:t>学校依据各学院学生比例下拨申报名额</w:t>
      </w:r>
      <w:r>
        <w:rPr>
          <w:rFonts w:hint="eastAsia" w:ascii="Times New Roman" w:hAnsi="Times New Roman" w:eastAsia="仿宋" w:cs="仿宋"/>
          <w:sz w:val="24"/>
          <w:shd w:val="clear" w:color="auto" w:fill="FFFFFF"/>
          <w:lang w:eastAsia="zh-CN"/>
        </w:rPr>
        <w:t>。</w:t>
      </w:r>
    </w:p>
    <w:p w14:paraId="743E14D4">
      <w:pPr>
        <w:spacing w:line="480" w:lineRule="exact"/>
        <w:ind w:firstLine="482" w:firstLineChars="200"/>
        <w:rPr>
          <w:rFonts w:ascii="Times New Roman" w:hAnsi="Times New Roman" w:eastAsia="仿宋" w:cs="仿宋"/>
          <w:b/>
          <w:bCs/>
          <w:sz w:val="24"/>
          <w:shd w:val="clear" w:color="auto" w:fill="FFFFFF"/>
        </w:rPr>
      </w:pPr>
      <w:r>
        <w:rPr>
          <w:rFonts w:hint="eastAsia" w:ascii="Times New Roman" w:hAnsi="Times New Roman" w:eastAsia="仿宋" w:cs="仿宋"/>
          <w:b/>
          <w:bCs/>
          <w:sz w:val="24"/>
          <w:shd w:val="clear" w:color="auto" w:fill="FFFFFF"/>
        </w:rPr>
        <w:t>六、申请材料要求</w:t>
      </w:r>
    </w:p>
    <w:p w14:paraId="46503BD1">
      <w:pPr>
        <w:spacing w:line="480" w:lineRule="exact"/>
        <w:ind w:firstLine="480" w:firstLineChars="200"/>
        <w:rPr>
          <w:rFonts w:ascii="Times New Roman" w:hAnsi="Times New Roman" w:eastAsia="仿宋" w:cs="仿宋"/>
          <w:sz w:val="24"/>
          <w:shd w:val="clear" w:color="auto" w:fill="FFFFFF"/>
        </w:rPr>
      </w:pPr>
      <w:r>
        <w:rPr>
          <w:rFonts w:hint="eastAsia" w:ascii="Times New Roman" w:hAnsi="Times New Roman" w:eastAsia="仿宋" w:cs="仿宋"/>
          <w:sz w:val="24"/>
          <w:shd w:val="clear" w:color="auto" w:fill="FFFFFF"/>
        </w:rPr>
        <w:t>符合资格的研究生需本人提出申请，提交申请材料。申请材料包括：</w:t>
      </w:r>
    </w:p>
    <w:p w14:paraId="5B337CCA">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1.</w:t>
      </w:r>
      <w:r>
        <w:rPr>
          <w:rFonts w:hint="eastAsia" w:ascii="Times New Roman" w:hAnsi="Times New Roman" w:eastAsia="仿宋" w:cs="仿宋"/>
          <w:sz w:val="24"/>
          <w:shd w:val="clear" w:color="auto" w:fill="FFFFFF"/>
        </w:rPr>
        <w:t xml:space="preserve">教育学院2024年学业奖学金评选材料清单表 </w:t>
      </w:r>
    </w:p>
    <w:p w14:paraId="2AB08CB0">
      <w:pPr>
        <w:spacing w:line="480" w:lineRule="exact"/>
        <w:ind w:firstLine="480" w:firstLineChars="200"/>
        <w:rPr>
          <w:rFonts w:ascii="Times New Roman" w:hAnsi="Times New Roman" w:eastAsia="仿宋" w:cs="仿宋"/>
          <w:sz w:val="24"/>
          <w:shd w:val="clear" w:color="auto" w:fill="FFFFFF"/>
        </w:rPr>
      </w:pPr>
      <w:r>
        <w:rPr>
          <w:rFonts w:ascii="Times New Roman" w:hAnsi="Times New Roman" w:eastAsia="仿宋" w:cs="仿宋"/>
          <w:sz w:val="24"/>
          <w:shd w:val="clear" w:color="auto" w:fill="FFFFFF"/>
        </w:rPr>
        <w:t>2.</w:t>
      </w:r>
      <w:r>
        <w:rPr>
          <w:rFonts w:hint="eastAsia" w:ascii="Times New Roman" w:hAnsi="Times New Roman" w:eastAsia="仿宋" w:cs="仿宋"/>
          <w:sz w:val="24"/>
          <w:shd w:val="clear" w:color="auto" w:fill="FFFFFF"/>
        </w:rPr>
        <w:t>相关证明材料复印件（个人申报时收复印件，验原件）</w:t>
      </w:r>
    </w:p>
    <w:p w14:paraId="1D0300DD">
      <w:pPr>
        <w:spacing w:line="480" w:lineRule="exact"/>
        <w:ind w:firstLine="480" w:firstLineChars="200"/>
        <w:rPr>
          <w:rFonts w:ascii="Times New Roman" w:hAnsi="Times New Roman" w:eastAsia="仿宋" w:cs="仿宋"/>
          <w:color w:val="000000"/>
          <w:sz w:val="24"/>
          <w:shd w:val="clear" w:color="auto" w:fill="FFFFFF"/>
        </w:rPr>
      </w:pPr>
      <w:r>
        <w:rPr>
          <w:rFonts w:hint="eastAsia" w:ascii="Times New Roman" w:hAnsi="Times New Roman" w:eastAsia="仿宋" w:cs="仿宋"/>
          <w:color w:val="000000"/>
          <w:sz w:val="24"/>
          <w:shd w:val="clear" w:color="auto" w:fill="FFFFFF"/>
        </w:rPr>
        <w:t>申报地点：教育学院学生工作办公室，教苑楼A座609室。</w:t>
      </w:r>
    </w:p>
    <w:p w14:paraId="79818EF4">
      <w:pPr>
        <w:spacing w:line="480" w:lineRule="exact"/>
        <w:ind w:left="2159" w:leftChars="228" w:hanging="1680" w:hangingChars="700"/>
        <w:rPr>
          <w:rFonts w:ascii="Times New Roman" w:hAnsi="Times New Roman" w:eastAsia="仿宋" w:cs="仿宋"/>
          <w:color w:val="000000"/>
          <w:sz w:val="24"/>
          <w:shd w:val="clear" w:color="auto" w:fill="FFFFFF"/>
        </w:rPr>
      </w:pPr>
      <w:r>
        <w:rPr>
          <w:rFonts w:hint="eastAsia" w:ascii="Times New Roman" w:hAnsi="Times New Roman" w:eastAsia="仿宋" w:cs="仿宋"/>
          <w:color w:val="000000"/>
          <w:sz w:val="24"/>
          <w:shd w:val="clear" w:color="auto" w:fill="FFFFFF"/>
        </w:rPr>
        <w:t>申报起止时间：学院评审办法及评定细则公示时间2024/</w:t>
      </w:r>
      <w:r>
        <w:rPr>
          <w:rFonts w:ascii="Times New Roman" w:hAnsi="Times New Roman" w:eastAsia="仿宋" w:cs="仿宋"/>
          <w:color w:val="000000"/>
          <w:sz w:val="24"/>
          <w:shd w:val="clear" w:color="auto" w:fill="FFFFFF"/>
        </w:rPr>
        <w:t>10</w:t>
      </w:r>
      <w:r>
        <w:rPr>
          <w:rFonts w:hint="eastAsia" w:ascii="Times New Roman" w:hAnsi="Times New Roman" w:eastAsia="仿宋" w:cs="仿宋"/>
          <w:color w:val="000000"/>
          <w:sz w:val="24"/>
          <w:shd w:val="clear" w:color="auto" w:fill="FFFFFF"/>
        </w:rPr>
        <w:t>/</w:t>
      </w:r>
      <w:r>
        <w:rPr>
          <w:rFonts w:hint="eastAsia" w:ascii="Times New Roman" w:hAnsi="Times New Roman" w:eastAsia="仿宋" w:cs="仿宋"/>
          <w:color w:val="000000"/>
          <w:sz w:val="24"/>
          <w:shd w:val="clear" w:color="auto" w:fill="FFFFFF"/>
          <w:lang w:val="en-US" w:eastAsia="zh-CN"/>
        </w:rPr>
        <w:t>16</w:t>
      </w:r>
      <w:r>
        <w:rPr>
          <w:rFonts w:hint="eastAsia" w:ascii="Times New Roman" w:hAnsi="Times New Roman" w:eastAsia="仿宋" w:cs="仿宋"/>
          <w:color w:val="000000"/>
          <w:sz w:val="24"/>
          <w:shd w:val="clear" w:color="auto" w:fill="FFFFFF"/>
        </w:rPr>
        <w:t>-</w:t>
      </w:r>
      <w:r>
        <w:rPr>
          <w:rFonts w:ascii="Times New Roman" w:hAnsi="Times New Roman" w:eastAsia="仿宋" w:cs="仿宋"/>
          <w:color w:val="000000"/>
          <w:sz w:val="24"/>
          <w:shd w:val="clear" w:color="auto" w:fill="FFFFFF"/>
        </w:rPr>
        <w:t>1</w:t>
      </w:r>
      <w:r>
        <w:rPr>
          <w:rFonts w:hint="eastAsia" w:ascii="Times New Roman" w:hAnsi="Times New Roman" w:eastAsia="仿宋" w:cs="仿宋"/>
          <w:color w:val="000000"/>
          <w:sz w:val="24"/>
          <w:shd w:val="clear" w:color="auto" w:fill="FFFFFF"/>
          <w:lang w:val="en-US" w:eastAsia="zh-CN"/>
        </w:rPr>
        <w:t>0/18</w:t>
      </w:r>
      <w:r>
        <w:rPr>
          <w:rFonts w:hint="eastAsia" w:ascii="Times New Roman" w:hAnsi="Times New Roman" w:eastAsia="仿宋" w:cs="仿宋"/>
          <w:color w:val="000000"/>
          <w:sz w:val="24"/>
          <w:shd w:val="clear" w:color="auto" w:fill="FFFFFF"/>
        </w:rPr>
        <w:t>；</w:t>
      </w:r>
    </w:p>
    <w:p w14:paraId="13B4D03C">
      <w:pPr>
        <w:spacing w:line="480" w:lineRule="exact"/>
        <w:ind w:left="2155" w:leftChars="1026"/>
        <w:rPr>
          <w:rFonts w:ascii="Times New Roman" w:hAnsi="Times New Roman" w:eastAsia="仿宋" w:cs="仿宋"/>
          <w:color w:val="000000"/>
          <w:sz w:val="24"/>
          <w:shd w:val="clear" w:color="auto" w:fill="FFFFFF"/>
        </w:rPr>
      </w:pPr>
      <w:r>
        <w:rPr>
          <w:rFonts w:hint="eastAsia" w:ascii="Times New Roman" w:hAnsi="Times New Roman" w:eastAsia="仿宋" w:cs="仿宋"/>
          <w:color w:val="000000"/>
          <w:sz w:val="24"/>
          <w:shd w:val="clear" w:color="auto" w:fill="FFFFFF"/>
        </w:rPr>
        <w:t>学生递交材料时间：2024/</w:t>
      </w:r>
      <w:r>
        <w:rPr>
          <w:rFonts w:ascii="Times New Roman" w:hAnsi="Times New Roman" w:eastAsia="仿宋" w:cs="仿宋"/>
          <w:color w:val="000000"/>
          <w:sz w:val="24"/>
          <w:shd w:val="clear" w:color="auto" w:fill="FFFFFF"/>
        </w:rPr>
        <w:t>1</w:t>
      </w:r>
      <w:r>
        <w:rPr>
          <w:rFonts w:hint="eastAsia" w:ascii="Times New Roman" w:hAnsi="Times New Roman" w:eastAsia="仿宋" w:cs="仿宋"/>
          <w:color w:val="000000"/>
          <w:sz w:val="24"/>
          <w:shd w:val="clear" w:color="auto" w:fill="FFFFFF"/>
          <w:lang w:val="en-US" w:eastAsia="zh-CN"/>
        </w:rPr>
        <w:t>0</w:t>
      </w:r>
      <w:r>
        <w:rPr>
          <w:rFonts w:hint="eastAsia" w:ascii="Times New Roman" w:hAnsi="Times New Roman" w:eastAsia="仿宋" w:cs="仿宋"/>
          <w:color w:val="000000"/>
          <w:sz w:val="24"/>
          <w:shd w:val="clear" w:color="auto" w:fill="FFFFFF"/>
        </w:rPr>
        <w:t>/</w:t>
      </w:r>
      <w:r>
        <w:rPr>
          <w:rFonts w:hint="eastAsia" w:ascii="Times New Roman" w:hAnsi="Times New Roman" w:eastAsia="仿宋" w:cs="仿宋"/>
          <w:color w:val="000000"/>
          <w:sz w:val="24"/>
          <w:shd w:val="clear" w:color="auto" w:fill="FFFFFF"/>
          <w:lang w:val="en-US" w:eastAsia="zh-CN"/>
        </w:rPr>
        <w:t>21</w:t>
      </w:r>
      <w:r>
        <w:rPr>
          <w:rFonts w:hint="eastAsia" w:ascii="Times New Roman" w:hAnsi="Times New Roman" w:eastAsia="仿宋" w:cs="仿宋"/>
          <w:color w:val="000000"/>
          <w:sz w:val="24"/>
          <w:shd w:val="clear" w:color="auto" w:fill="FFFFFF"/>
        </w:rPr>
        <w:t>、</w:t>
      </w:r>
      <w:r>
        <w:rPr>
          <w:rFonts w:hint="eastAsia" w:ascii="Times New Roman" w:hAnsi="Times New Roman" w:eastAsia="仿宋" w:cs="仿宋"/>
          <w:color w:val="000000"/>
          <w:sz w:val="24"/>
          <w:shd w:val="clear" w:color="auto" w:fill="FFFFFF"/>
          <w:lang w:val="en-US" w:eastAsia="zh-CN"/>
        </w:rPr>
        <w:t>10/22</w:t>
      </w:r>
      <w:r>
        <w:rPr>
          <w:rFonts w:hint="eastAsia" w:ascii="Times New Roman" w:hAnsi="Times New Roman" w:eastAsia="仿宋" w:cs="仿宋"/>
          <w:color w:val="000000"/>
          <w:sz w:val="24"/>
          <w:shd w:val="clear" w:color="auto" w:fill="FFFFFF"/>
        </w:rPr>
        <w:t>、</w:t>
      </w:r>
      <w:r>
        <w:rPr>
          <w:rFonts w:hint="eastAsia" w:ascii="Times New Roman" w:hAnsi="Times New Roman" w:eastAsia="仿宋" w:cs="仿宋"/>
          <w:color w:val="000000"/>
          <w:sz w:val="24"/>
          <w:shd w:val="clear" w:color="auto" w:fill="FFFFFF"/>
          <w:lang w:val="en-US" w:eastAsia="zh-CN"/>
        </w:rPr>
        <w:t>10/24</w:t>
      </w:r>
      <w:r>
        <w:rPr>
          <w:rFonts w:hint="eastAsia" w:ascii="Times New Roman" w:hAnsi="Times New Roman" w:eastAsia="仿宋" w:cs="仿宋"/>
          <w:color w:val="000000"/>
          <w:sz w:val="24"/>
          <w:shd w:val="clear" w:color="auto" w:fill="FFFFFF"/>
        </w:rPr>
        <w:t>。</w:t>
      </w:r>
    </w:p>
    <w:p w14:paraId="387F6FF6">
      <w:pPr>
        <w:spacing w:line="480" w:lineRule="exact"/>
        <w:ind w:firstLine="480" w:firstLineChars="200"/>
        <w:rPr>
          <w:rFonts w:ascii="Times New Roman" w:hAnsi="Times New Roman" w:eastAsia="仿宋" w:cs="仿宋"/>
          <w:color w:val="000000"/>
          <w:kern w:val="0"/>
          <w:sz w:val="24"/>
          <w:shd w:val="clear" w:color="auto" w:fill="FFFFFF"/>
          <w:lang w:bidi="ar"/>
        </w:rPr>
      </w:pPr>
      <w:r>
        <w:rPr>
          <w:rFonts w:hint="eastAsia" w:ascii="Times New Roman" w:hAnsi="Times New Roman" w:eastAsia="仿宋" w:cs="仿宋"/>
          <w:color w:val="000000"/>
          <w:sz w:val="24"/>
          <w:shd w:val="clear" w:color="auto" w:fill="FFFFFF"/>
        </w:rPr>
        <w:t>递交材料时间：工作日</w:t>
      </w:r>
      <w:r>
        <w:rPr>
          <w:rFonts w:ascii="Times New Roman" w:hAnsi="Times New Roman" w:eastAsia="仿宋" w:cs="仿宋"/>
          <w:color w:val="000000"/>
          <w:sz w:val="24"/>
          <w:shd w:val="clear" w:color="auto" w:fill="FFFFFF"/>
        </w:rPr>
        <w:t>8</w:t>
      </w:r>
      <w:r>
        <w:rPr>
          <w:rFonts w:hint="eastAsia" w:ascii="Times New Roman" w:hAnsi="Times New Roman" w:eastAsia="仿宋" w:cs="仿宋"/>
          <w:color w:val="000000"/>
          <w:sz w:val="24"/>
          <w:shd w:val="clear" w:color="auto" w:fill="FFFFFF"/>
        </w:rPr>
        <w:t>:</w:t>
      </w:r>
      <w:r>
        <w:rPr>
          <w:rFonts w:ascii="Times New Roman" w:hAnsi="Times New Roman" w:eastAsia="仿宋" w:cs="仿宋"/>
          <w:color w:val="000000"/>
          <w:sz w:val="24"/>
          <w:shd w:val="clear" w:color="auto" w:fill="FFFFFF"/>
        </w:rPr>
        <w:t>30</w:t>
      </w:r>
      <w:r>
        <w:rPr>
          <w:rFonts w:hint="eastAsia" w:ascii="Times New Roman" w:hAnsi="Times New Roman" w:eastAsia="仿宋" w:cs="仿宋"/>
          <w:color w:val="000000"/>
          <w:sz w:val="24"/>
          <w:shd w:val="clear" w:color="auto" w:fill="FFFFFF"/>
        </w:rPr>
        <w:t>—11:00，1</w:t>
      </w:r>
      <w:r>
        <w:rPr>
          <w:rFonts w:ascii="Times New Roman" w:hAnsi="Times New Roman" w:eastAsia="仿宋" w:cs="仿宋"/>
          <w:color w:val="000000"/>
          <w:sz w:val="24"/>
          <w:shd w:val="clear" w:color="auto" w:fill="FFFFFF"/>
        </w:rPr>
        <w:t>3</w:t>
      </w:r>
      <w:r>
        <w:rPr>
          <w:rFonts w:hint="eastAsia" w:ascii="Times New Roman" w:hAnsi="Times New Roman" w:eastAsia="仿宋" w:cs="仿宋"/>
          <w:color w:val="000000"/>
          <w:sz w:val="24"/>
          <w:shd w:val="clear" w:color="auto" w:fill="FFFFFF"/>
        </w:rPr>
        <w:t>:</w:t>
      </w:r>
      <w:r>
        <w:rPr>
          <w:rFonts w:ascii="Times New Roman" w:hAnsi="Times New Roman" w:eastAsia="仿宋" w:cs="仿宋"/>
          <w:color w:val="000000"/>
          <w:sz w:val="24"/>
          <w:shd w:val="clear" w:color="auto" w:fill="FFFFFF"/>
        </w:rPr>
        <w:t>30</w:t>
      </w:r>
      <w:r>
        <w:rPr>
          <w:rFonts w:hint="eastAsia" w:ascii="Times New Roman" w:hAnsi="Times New Roman" w:eastAsia="仿宋" w:cs="仿宋"/>
          <w:color w:val="000000"/>
          <w:sz w:val="24"/>
          <w:shd w:val="clear" w:color="auto" w:fill="FFFFFF"/>
        </w:rPr>
        <w:t>—16:00，过期不再受理。</w:t>
      </w:r>
    </w:p>
    <w:p w14:paraId="714300D5">
      <w:pPr>
        <w:spacing w:line="480" w:lineRule="exact"/>
        <w:ind w:firstLine="480" w:firstLineChars="200"/>
        <w:jc w:val="right"/>
        <w:rPr>
          <w:rFonts w:ascii="Times New Roman" w:hAnsi="Times New Roman" w:eastAsia="仿宋" w:cs="仿宋"/>
          <w:sz w:val="24"/>
          <w:shd w:val="clear" w:color="auto" w:fill="FFFFFF"/>
        </w:rPr>
      </w:pPr>
      <w:r>
        <w:rPr>
          <w:rFonts w:hint="eastAsia" w:ascii="Times New Roman" w:hAnsi="Times New Roman" w:eastAsia="仿宋" w:cs="仿宋"/>
          <w:sz w:val="24"/>
          <w:shd w:val="clear" w:color="auto" w:fill="FFFFFF"/>
        </w:rPr>
        <w:t>上海师范大学教育学院</w:t>
      </w:r>
    </w:p>
    <w:p w14:paraId="75DE6204">
      <w:pPr>
        <w:spacing w:line="480" w:lineRule="exact"/>
        <w:ind w:firstLine="480" w:firstLineChars="200"/>
        <w:jc w:val="right"/>
        <w:rPr>
          <w:rFonts w:ascii="Times New Roman" w:hAnsi="Times New Roman" w:eastAsia="仿宋" w:cs="仿宋"/>
          <w:kern w:val="0"/>
          <w:sz w:val="24"/>
          <w:shd w:val="clear" w:color="auto" w:fill="FFFFFF"/>
        </w:rPr>
      </w:pPr>
      <w:r>
        <w:rPr>
          <w:rFonts w:hint="eastAsia" w:ascii="Times New Roman" w:hAnsi="Times New Roman" w:eastAsia="仿宋" w:cs="仿宋"/>
          <w:sz w:val="24"/>
          <w:shd w:val="clear" w:color="auto" w:fill="FFFFFF"/>
        </w:rPr>
        <w:t>2024年</w:t>
      </w:r>
      <w:r>
        <w:rPr>
          <w:rFonts w:hint="eastAsia" w:ascii="Times New Roman" w:hAnsi="Times New Roman" w:eastAsia="仿宋" w:cs="仿宋"/>
          <w:sz w:val="24"/>
          <w:shd w:val="clear" w:color="auto" w:fill="FFFFFF"/>
          <w:lang w:val="en-US" w:eastAsia="zh-CN"/>
        </w:rPr>
        <w:t>10</w:t>
      </w:r>
      <w:r>
        <w:rPr>
          <w:rFonts w:hint="eastAsia" w:ascii="Times New Roman" w:hAnsi="Times New Roman" w:eastAsia="仿宋" w:cs="仿宋"/>
          <w:sz w:val="24"/>
          <w:shd w:val="clear" w:color="auto" w:fill="FFFFFF"/>
        </w:rPr>
        <w:t>月</w:t>
      </w:r>
      <w:r>
        <w:rPr>
          <w:rFonts w:hint="eastAsia" w:ascii="Times New Roman" w:hAnsi="Times New Roman" w:eastAsia="仿宋" w:cs="仿宋"/>
          <w:sz w:val="24"/>
          <w:shd w:val="clear" w:color="auto" w:fill="FFFFFF"/>
          <w:lang w:val="en-US" w:eastAsia="zh-CN"/>
        </w:rPr>
        <w:t>16</w:t>
      </w:r>
      <w:bookmarkStart w:id="0" w:name="_GoBack"/>
      <w:bookmarkEnd w:id="0"/>
      <w:r>
        <w:rPr>
          <w:rFonts w:hint="eastAsia" w:ascii="Times New Roman" w:hAnsi="Times New Roman" w:eastAsia="仿宋" w:cs="仿宋"/>
          <w:sz w:val="24"/>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178A5"/>
    <w:multiLevelType w:val="singleLevel"/>
    <w:tmpl w:val="651178A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MTRjZWRiN2VmZDY0MzQ3NGNmMDM5MGQ1NmMyNDMifQ=="/>
  </w:docVars>
  <w:rsids>
    <w:rsidRoot w:val="00132963"/>
    <w:rsid w:val="00132963"/>
    <w:rsid w:val="001E1C18"/>
    <w:rsid w:val="0024711A"/>
    <w:rsid w:val="003022E4"/>
    <w:rsid w:val="00341AE9"/>
    <w:rsid w:val="00655340"/>
    <w:rsid w:val="00730763"/>
    <w:rsid w:val="00757226"/>
    <w:rsid w:val="00AD3C4E"/>
    <w:rsid w:val="00B32685"/>
    <w:rsid w:val="00B9045F"/>
    <w:rsid w:val="00B910C7"/>
    <w:rsid w:val="00BC4E40"/>
    <w:rsid w:val="00C33AC3"/>
    <w:rsid w:val="00C71955"/>
    <w:rsid w:val="00D82729"/>
    <w:rsid w:val="00E0061F"/>
    <w:rsid w:val="00E97642"/>
    <w:rsid w:val="00EF03F6"/>
    <w:rsid w:val="00FA2030"/>
    <w:rsid w:val="00FF44D2"/>
    <w:rsid w:val="05546C99"/>
    <w:rsid w:val="0C316A97"/>
    <w:rsid w:val="18B516CA"/>
    <w:rsid w:val="290C15E6"/>
    <w:rsid w:val="438C0A54"/>
    <w:rsid w:val="4DF83B21"/>
    <w:rsid w:val="59150CBB"/>
    <w:rsid w:val="5BFA0307"/>
    <w:rsid w:val="6C9F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6"/>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563C1"/>
      <w:u w:val="single"/>
    </w:rPr>
  </w:style>
  <w:style w:type="paragraph" w:customStyle="1" w:styleId="12">
    <w:name w:val="样式3"/>
    <w:basedOn w:val="1"/>
    <w:qFormat/>
    <w:uiPriority w:val="0"/>
    <w:pPr>
      <w:spacing w:line="360" w:lineRule="auto"/>
    </w:pPr>
    <w:rPr>
      <w:rFonts w:ascii="Times New Roman" w:hAnsi="Times New Roman"/>
      <w:sz w:val="24"/>
    </w:rPr>
  </w:style>
  <w:style w:type="paragraph" w:customStyle="1" w:styleId="13">
    <w:name w:val="样式6"/>
    <w:basedOn w:val="1"/>
    <w:qFormat/>
    <w:uiPriority w:val="0"/>
    <w:pPr>
      <w:spacing w:line="360" w:lineRule="auto"/>
    </w:pPr>
    <w:rPr>
      <w:rFonts w:ascii="Times New Roman" w:hAnsi="Times New Roman"/>
    </w:rPr>
  </w:style>
  <w:style w:type="paragraph" w:customStyle="1" w:styleId="14">
    <w:name w:val="样式7"/>
    <w:basedOn w:val="1"/>
    <w:qFormat/>
    <w:uiPriority w:val="0"/>
    <w:pPr>
      <w:spacing w:line="360" w:lineRule="auto"/>
    </w:pPr>
    <w:rPr>
      <w:rFonts w:ascii="Times New Roman" w:hAnsi="Times New Roman"/>
    </w:rPr>
  </w:style>
  <w:style w:type="character" w:customStyle="1" w:styleId="15">
    <w:name w:val="日期 字符"/>
    <w:basedOn w:val="9"/>
    <w:link w:val="2"/>
    <w:qFormat/>
    <w:uiPriority w:val="0"/>
    <w:rPr>
      <w:kern w:val="2"/>
      <w:sz w:val="21"/>
      <w:szCs w:val="24"/>
    </w:rPr>
  </w:style>
  <w:style w:type="character" w:customStyle="1" w:styleId="16">
    <w:name w:val="批注框文本 字符"/>
    <w:basedOn w:val="9"/>
    <w:link w:val="3"/>
    <w:qFormat/>
    <w:uiPriority w:val="0"/>
    <w:rPr>
      <w:kern w:val="2"/>
      <w:sz w:val="18"/>
      <w:szCs w:val="18"/>
    </w:rPr>
  </w:style>
  <w:style w:type="character" w:customStyle="1" w:styleId="17">
    <w:name w:val="页眉 字符"/>
    <w:basedOn w:val="9"/>
    <w:link w:val="5"/>
    <w:qFormat/>
    <w:uiPriority w:val="0"/>
    <w:rPr>
      <w:rFonts w:ascii="Calibri" w:hAnsi="Calibri" w:eastAsia="宋体" w:cs="宋体"/>
      <w:kern w:val="2"/>
      <w:sz w:val="18"/>
      <w:szCs w:val="18"/>
    </w:rPr>
  </w:style>
  <w:style w:type="character" w:customStyle="1" w:styleId="18">
    <w:name w:val="页脚 字符"/>
    <w:basedOn w:val="9"/>
    <w:link w:val="4"/>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2091</Words>
  <Characters>2217</Characters>
  <Lines>16</Lines>
  <Paragraphs>4</Paragraphs>
  <TotalTime>3</TotalTime>
  <ScaleCrop>false</ScaleCrop>
  <LinksUpToDate>false</LinksUpToDate>
  <CharactersWithSpaces>2251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王梦含</cp:lastModifiedBy>
  <cp:lastPrinted>2021-09-16T06:32:00Z</cp:lastPrinted>
  <dcterms:modified xsi:type="dcterms:W3CDTF">2024-10-16T05:33:04Z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0C4E063883E44E8287FD7194124A9361_13</vt:lpwstr>
  </property>
</Properties>
</file>